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4761" w:rsidP="00514761">
      <w:pPr>
        <w:ind w:left="2832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ПОСТАНОВЛЕНИЕ № 5-355-2402/2024   </w:t>
      </w:r>
    </w:p>
    <w:p w:rsidR="00514761" w:rsidP="00514761">
      <w:pPr>
        <w:ind w:left="2832"/>
        <w:jc w:val="both"/>
        <w:rPr>
          <w:rFonts w:eastAsia="MS Mincho"/>
          <w:b/>
          <w:sz w:val="16"/>
          <w:szCs w:val="16"/>
        </w:rPr>
      </w:pPr>
      <w:r>
        <w:rPr>
          <w:rFonts w:eastAsia="MS Mincho"/>
          <w:b/>
          <w:sz w:val="28"/>
          <w:szCs w:val="28"/>
        </w:rPr>
        <w:t xml:space="preserve">  </w:t>
      </w:r>
    </w:p>
    <w:p w:rsidR="00514761" w:rsidP="00514761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30 мая 2024 г.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     </w:t>
      </w:r>
      <w:r>
        <w:rPr>
          <w:rFonts w:eastAsia="MS Mincho"/>
          <w:sz w:val="28"/>
          <w:szCs w:val="28"/>
        </w:rPr>
        <w:tab/>
        <w:t xml:space="preserve"> г.Пыть-Ях   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 судебного участка № 2 Пыть-Яхского</w:t>
      </w:r>
      <w:r>
        <w:rPr>
          <w:rFonts w:eastAsia="MS Mincho"/>
          <w:sz w:val="28"/>
          <w:szCs w:val="28"/>
        </w:rPr>
        <w:t xml:space="preserve"> судебного района Ханты-Мансийского автономного округа – Югры Клочков А.А., рассмотрев по адресу: Ханты-Мансийский автономный округ-Югра, г. Пыть-Ях, 2 мкр., д. 4, дело об административном правонарушении в отношении 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Кумакова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Алима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Гаджиевича</w:t>
      </w:r>
      <w:r>
        <w:rPr>
          <w:rFonts w:eastAsia="MS Mincho"/>
          <w:sz w:val="28"/>
          <w:szCs w:val="28"/>
        </w:rPr>
        <w:t>, ---</w:t>
      </w:r>
      <w:r>
        <w:rPr>
          <w:rFonts w:eastAsia="MS Mincho"/>
          <w:sz w:val="28"/>
          <w:szCs w:val="28"/>
        </w:rPr>
        <w:t xml:space="preserve">, </w:t>
      </w:r>
    </w:p>
    <w:p w:rsidR="00514761" w:rsidP="00514761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за совершение  административного правонарушения, предусмотренного ч. 1 ст. 12.26 КоАП РФ,</w:t>
      </w:r>
    </w:p>
    <w:p w:rsidR="00514761" w:rsidP="00514761">
      <w:pPr>
        <w:jc w:val="both"/>
        <w:rPr>
          <w:rFonts w:eastAsia="MS Mincho"/>
          <w:sz w:val="16"/>
          <w:szCs w:val="16"/>
        </w:rPr>
      </w:pPr>
    </w:p>
    <w:p w:rsidR="00514761" w:rsidP="00514761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УСТАНОВ</w:t>
      </w:r>
      <w:r>
        <w:rPr>
          <w:rFonts w:eastAsia="MS Mincho"/>
          <w:sz w:val="28"/>
          <w:szCs w:val="28"/>
        </w:rPr>
        <w:t>ИЛ:</w:t>
      </w:r>
    </w:p>
    <w:p w:rsidR="00514761" w:rsidP="00514761">
      <w:pPr>
        <w:jc w:val="both"/>
        <w:rPr>
          <w:rFonts w:eastAsia="MS Mincho"/>
          <w:sz w:val="16"/>
          <w:szCs w:val="16"/>
        </w:rPr>
      </w:pP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Гр-н Кумаков А.Г. 20.02.2024  около 12 часов 14 минут на 479 км. автодороги Тюмень-Ханты-Мансийск в Уватском районе Тюменской области отказался выполнить законное требование уполномоченного должностного лица о прохождении медицинского освидетельствова</w:t>
      </w:r>
      <w:r>
        <w:rPr>
          <w:rFonts w:eastAsia="MS Mincho"/>
          <w:sz w:val="28"/>
          <w:szCs w:val="28"/>
        </w:rPr>
        <w:t>ния на состояние опьянения, до этого в тот же день, в период с 11 до 11 часов 55 минут  (более точное время не установлено), управлял транспортным средством автомобилем ---</w:t>
      </w:r>
      <w:r>
        <w:rPr>
          <w:rFonts w:eastAsia="MS Mincho"/>
          <w:sz w:val="28"/>
          <w:szCs w:val="28"/>
        </w:rPr>
        <w:t xml:space="preserve"> с признаками опьянения – поведение, не соответствующее </w:t>
      </w:r>
      <w:r>
        <w:rPr>
          <w:rFonts w:eastAsia="MS Mincho"/>
          <w:sz w:val="28"/>
          <w:szCs w:val="28"/>
        </w:rPr>
        <w:t>обстановке, имелись достаточные основания полагать, что он находится в состоянии опьянения, при</w:t>
      </w:r>
      <w:r w:rsidR="008D6E58">
        <w:rPr>
          <w:rFonts w:eastAsia="MS Mincho"/>
          <w:sz w:val="28"/>
          <w:szCs w:val="28"/>
        </w:rPr>
        <w:t xml:space="preserve"> этом результаты проведенного </w:t>
      </w:r>
      <w:r>
        <w:rPr>
          <w:rFonts w:eastAsia="MS Mincho"/>
          <w:sz w:val="28"/>
          <w:szCs w:val="28"/>
        </w:rPr>
        <w:t xml:space="preserve">20.02.2024 </w:t>
      </w:r>
      <w:r w:rsidR="008D6E58">
        <w:rPr>
          <w:rFonts w:eastAsia="MS Mincho"/>
          <w:sz w:val="28"/>
          <w:szCs w:val="28"/>
        </w:rPr>
        <w:t>около</w:t>
      </w:r>
      <w:r>
        <w:rPr>
          <w:rFonts w:eastAsia="MS Mincho"/>
          <w:sz w:val="28"/>
          <w:szCs w:val="28"/>
        </w:rPr>
        <w:t xml:space="preserve"> 12 часов 12 минут освидетельствования на состояние алкогольного опьянения были отрицательны. </w:t>
      </w:r>
    </w:p>
    <w:p w:rsidR="00514761" w:rsidP="00514761">
      <w:pPr>
        <w:ind w:right="-1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Для рассмотрения со</w:t>
      </w:r>
      <w:r>
        <w:rPr>
          <w:rFonts w:eastAsia="MS Mincho"/>
          <w:sz w:val="28"/>
          <w:szCs w:val="28"/>
        </w:rPr>
        <w:t xml:space="preserve">ставленного по ч. 1 ст. 12.26 КоАП РФ протокола об административном правонарушении назначено судебное заседание. </w:t>
      </w:r>
    </w:p>
    <w:p w:rsidR="00514761" w:rsidP="00514761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Кумаков А.Г. в суде вину не признал. Показал, что в указанную выше дату в указанном выше месте управлял автомобилем около 11 часов. Ввиду неис</w:t>
      </w:r>
      <w:r>
        <w:rPr>
          <w:rFonts w:eastAsia="MS Mincho"/>
          <w:sz w:val="28"/>
          <w:szCs w:val="28"/>
        </w:rPr>
        <w:t>правности автомобиля произвел остановку до того, как подъехал к находившимся на трассе сотрудникам ГИБДД, фактически полицейские его не останавливали. После остановки автомобиля сотрудники ГИБДД подошли к нему, потребовали документы, увидев что он дрожит и</w:t>
      </w:r>
      <w:r>
        <w:rPr>
          <w:rFonts w:eastAsia="MS Mincho"/>
          <w:sz w:val="28"/>
          <w:szCs w:val="28"/>
        </w:rPr>
        <w:t>з-за холода заявили что подозревают его в том, что он нетрезв. Потребовали выйти из автомобиля, произвели досмотр автомобиля, обнаружили в нем вещество, (в последующем по данному факту было возбуждено уголовное дело по ч. 1 ст. 228 УК РФ). Около 50 минут с</w:t>
      </w:r>
      <w:r>
        <w:rPr>
          <w:rFonts w:eastAsia="MS Mincho"/>
          <w:sz w:val="28"/>
          <w:szCs w:val="28"/>
        </w:rPr>
        <w:t xml:space="preserve">отрудники разговаривали с ним, требуя передать им 200000 рублей за то, чтобы не придавать огласке факт обнаружения вещества. Он отказался, затем сотрудники ГИБДД предложили отказаться от медицинского освидетельствования, пообещав после этого его отпустить </w:t>
      </w:r>
      <w:r>
        <w:rPr>
          <w:rFonts w:eastAsia="MS Mincho"/>
          <w:sz w:val="28"/>
          <w:szCs w:val="28"/>
        </w:rPr>
        <w:t xml:space="preserve">и не инициировать разбирательство по факту обнаружения вещества. После этого, в служебном автомобиле с использованием видеокамеры </w:t>
      </w:r>
      <w:r w:rsidR="008D6E58">
        <w:rPr>
          <w:rFonts w:eastAsia="MS Mincho"/>
          <w:sz w:val="28"/>
          <w:szCs w:val="28"/>
        </w:rPr>
        <w:t xml:space="preserve">прошел освидетельствование на состояние алкогольного опьянения, с отрицательными результатами согласился, после чего </w:t>
      </w:r>
      <w:r>
        <w:rPr>
          <w:rFonts w:eastAsia="MS Mincho"/>
          <w:sz w:val="28"/>
          <w:szCs w:val="28"/>
        </w:rPr>
        <w:t>отказался</w:t>
      </w:r>
      <w:r>
        <w:rPr>
          <w:rFonts w:eastAsia="MS Mincho"/>
          <w:sz w:val="28"/>
          <w:szCs w:val="28"/>
        </w:rPr>
        <w:t xml:space="preserve"> от прохождения медицинского освидетельствования</w:t>
      </w:r>
      <w:r w:rsidR="008D6E58">
        <w:rPr>
          <w:rFonts w:eastAsia="MS Mincho"/>
          <w:sz w:val="28"/>
          <w:szCs w:val="28"/>
        </w:rPr>
        <w:t xml:space="preserve"> на состояние опьянения</w:t>
      </w:r>
      <w:r>
        <w:rPr>
          <w:rFonts w:eastAsia="MS Mincho"/>
          <w:sz w:val="28"/>
          <w:szCs w:val="28"/>
        </w:rPr>
        <w:t xml:space="preserve">, думая что его отпустят. Однако </w:t>
      </w:r>
      <w:r w:rsidR="008D6E58">
        <w:rPr>
          <w:rFonts w:eastAsia="MS Mincho"/>
          <w:sz w:val="28"/>
          <w:szCs w:val="28"/>
        </w:rPr>
        <w:t>сотрудники</w:t>
      </w:r>
      <w:r>
        <w:rPr>
          <w:rFonts w:eastAsia="MS Mincho"/>
          <w:sz w:val="28"/>
          <w:szCs w:val="28"/>
        </w:rPr>
        <w:t xml:space="preserve"> ГИБДД обещание не выполнили, вызвали оперативно-следственную группу. Документы подписывал не заполненные, в последующем их заполнял сотрудник</w:t>
      </w:r>
      <w:r>
        <w:rPr>
          <w:rFonts w:eastAsia="MS Mincho"/>
          <w:sz w:val="28"/>
          <w:szCs w:val="28"/>
        </w:rPr>
        <w:t xml:space="preserve"> ГИБДД в служебном автомобиле. </w:t>
      </w:r>
      <w:r>
        <w:rPr>
          <w:rFonts w:eastAsia="MS Mincho"/>
          <w:sz w:val="28"/>
          <w:szCs w:val="28"/>
        </w:rPr>
        <w:t xml:space="preserve">Подпись </w:t>
      </w:r>
      <w:r w:rsidR="008D6E58">
        <w:rPr>
          <w:rFonts w:eastAsia="MS Mincho"/>
          <w:sz w:val="28"/>
          <w:szCs w:val="28"/>
        </w:rPr>
        <w:t xml:space="preserve">от своего имени </w:t>
      </w:r>
      <w:r>
        <w:rPr>
          <w:rFonts w:eastAsia="MS Mincho"/>
          <w:sz w:val="28"/>
          <w:szCs w:val="28"/>
        </w:rPr>
        <w:t xml:space="preserve">в протоколе направления на медицинское освидетельствование отрицает. Также </w:t>
      </w:r>
      <w:r w:rsidR="008D6E58">
        <w:rPr>
          <w:rFonts w:eastAsia="MS Mincho"/>
          <w:sz w:val="28"/>
          <w:szCs w:val="28"/>
        </w:rPr>
        <w:t xml:space="preserve">пояснил, что </w:t>
      </w:r>
      <w:r>
        <w:rPr>
          <w:rFonts w:eastAsia="MS Mincho"/>
          <w:sz w:val="28"/>
          <w:szCs w:val="28"/>
        </w:rPr>
        <w:t xml:space="preserve">в последующем в служебном автомобиле заявил о желании пройти медицинское освидетельствование, но сотрудник ГИБДД </w:t>
      </w:r>
      <w:r>
        <w:rPr>
          <w:rFonts w:eastAsia="MS Mincho"/>
          <w:sz w:val="28"/>
          <w:szCs w:val="28"/>
        </w:rPr>
        <w:t xml:space="preserve">в этом отказал. Копии процессуальных документов </w:t>
      </w:r>
      <w:r w:rsidR="008D6E58">
        <w:rPr>
          <w:rFonts w:eastAsia="MS Mincho"/>
          <w:sz w:val="28"/>
          <w:szCs w:val="28"/>
        </w:rPr>
        <w:t xml:space="preserve">сотрудники ГИБДД </w:t>
      </w:r>
      <w:r>
        <w:rPr>
          <w:rFonts w:eastAsia="MS Mincho"/>
          <w:sz w:val="28"/>
          <w:szCs w:val="28"/>
        </w:rPr>
        <w:t>ему не вручали. В отношении него возбудили уголовное дело по ч. 1 ст. 228 УК РФ, дознание по которому осуществляется. Представил акт выполненных работ от 16.05.2024, полагая это подтверждение</w:t>
      </w:r>
      <w:r>
        <w:rPr>
          <w:rFonts w:eastAsia="MS Mincho"/>
          <w:sz w:val="28"/>
          <w:szCs w:val="28"/>
        </w:rPr>
        <w:t xml:space="preserve">м технической неисправности автомобиля. 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Мировым судьей были изучены материалы дела, в том числе: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Протокол об административном правонарушении (описание события правонарушения, с учетом прилагаемых материалов, аналогично изложенному выше), при составлении к</w:t>
      </w:r>
      <w:r>
        <w:rPr>
          <w:rFonts w:eastAsia="MS Mincho"/>
          <w:sz w:val="28"/>
          <w:szCs w:val="28"/>
        </w:rPr>
        <w:t xml:space="preserve">оторого Кумаков А.Г.. его не оспаривал, заявил о согласии; 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Акт освидетельствования на состояние алкогольного опьянения (проводилось с применением видеозаписи), по результатам которого не установлено алкогольное опьянение Кумакова А.Г., показания применяем</w:t>
      </w:r>
      <w:r>
        <w:rPr>
          <w:rFonts w:eastAsia="MS Mincho"/>
          <w:sz w:val="28"/>
          <w:szCs w:val="28"/>
        </w:rPr>
        <w:t>ого технического средства составили 0,0 мг/л, отмечены вышеуказанные признаки опьянения, с результатами освидетельствования Кумаков А.Г. согласился;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Распечатка показаний прибора (сведения соответствуют указанным в акте освидетельствования); 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Протокол об от</w:t>
      </w:r>
      <w:r>
        <w:rPr>
          <w:rFonts w:eastAsia="MS Mincho"/>
          <w:sz w:val="28"/>
          <w:szCs w:val="28"/>
        </w:rPr>
        <w:t>странении от управления транспортным средством (составлялся с применением видеозаписи), согласно которому до предъявления к нему требования о прохождении освидетельствования на состояние алкогольного опьянения Кумаков А.Г. отстранен от управления транспорт</w:t>
      </w:r>
      <w:r>
        <w:rPr>
          <w:rFonts w:eastAsia="MS Mincho"/>
          <w:sz w:val="28"/>
          <w:szCs w:val="28"/>
        </w:rPr>
        <w:t>ным средством в связи с признаками опьянения, время отстранения указано как 12</w:t>
      </w:r>
      <w:r w:rsidR="008D6E58">
        <w:rPr>
          <w:rFonts w:eastAsia="MS Mincho"/>
          <w:sz w:val="28"/>
          <w:szCs w:val="28"/>
        </w:rPr>
        <w:t xml:space="preserve"> часов </w:t>
      </w:r>
      <w:r>
        <w:rPr>
          <w:rFonts w:eastAsia="MS Mincho"/>
          <w:sz w:val="28"/>
          <w:szCs w:val="28"/>
        </w:rPr>
        <w:t>09</w:t>
      </w:r>
      <w:r w:rsidR="008D6E58">
        <w:rPr>
          <w:rFonts w:eastAsia="MS Mincho"/>
          <w:sz w:val="28"/>
          <w:szCs w:val="28"/>
        </w:rPr>
        <w:t xml:space="preserve"> минут</w:t>
      </w:r>
      <w:r>
        <w:rPr>
          <w:rFonts w:eastAsia="MS Mincho"/>
          <w:sz w:val="28"/>
          <w:szCs w:val="28"/>
        </w:rPr>
        <w:t>;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Протокол о направлении на медицинское освидетельствование на состояние опьянения, согласно которому Кумаков А.Г. направлен на медицинское освидетельствование на </w:t>
      </w:r>
      <w:r>
        <w:rPr>
          <w:rFonts w:eastAsia="MS Mincho"/>
          <w:sz w:val="28"/>
          <w:szCs w:val="28"/>
        </w:rPr>
        <w:t>состояние опьянения, имеются достаточные основания полагать, что он находится в состоянии опьянения при отрицательных результатах освидетельствования на состояние алкогольного опьянения, от прохождения медицинского освидетельствования Кумаков А.Г. отказалс</w:t>
      </w:r>
      <w:r>
        <w:rPr>
          <w:rFonts w:eastAsia="MS Mincho"/>
          <w:sz w:val="28"/>
          <w:szCs w:val="28"/>
        </w:rPr>
        <w:t>я;</w:t>
      </w:r>
    </w:p>
    <w:p w:rsidR="00514761" w:rsidP="00514761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Сведения, из которых следует, что Кумаков А.Г. к административной ответственности по ст. 12.26 и 12.8 КоАП РФ и к уголовной ответственности по ч. 2, 4, 6 ст. 264 и 264.1 УК РФ не привлекался;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Рапорт сотрудника полиции от 20.02.2024 об обстоятельствах с</w:t>
      </w:r>
      <w:r>
        <w:rPr>
          <w:rFonts w:eastAsia="MS Mincho"/>
          <w:sz w:val="28"/>
          <w:szCs w:val="28"/>
        </w:rPr>
        <w:t>овершения правонарушения (сведения аналогичны указанным в протоколе);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Видеозапись, на которой зафиксированы обстоятельства применения в отнош</w:t>
      </w:r>
      <w:r w:rsidR="008D6E58">
        <w:rPr>
          <w:rFonts w:eastAsia="MS Mincho"/>
          <w:sz w:val="28"/>
          <w:szCs w:val="28"/>
        </w:rPr>
        <w:t>ении Кумакова А.Г. вышеуказанных</w:t>
      </w:r>
      <w:r>
        <w:rPr>
          <w:rFonts w:eastAsia="MS Mincho"/>
          <w:sz w:val="28"/>
          <w:szCs w:val="28"/>
        </w:rPr>
        <w:t xml:space="preserve"> мер обеспечения производства по делу (последовательность действий соблюдена, зафик</w:t>
      </w:r>
      <w:r w:rsidR="008F4D45">
        <w:rPr>
          <w:rFonts w:eastAsia="MS Mincho"/>
          <w:sz w:val="28"/>
          <w:szCs w:val="28"/>
        </w:rPr>
        <w:t>сировано освидетельствование</w:t>
      </w:r>
      <w:r>
        <w:rPr>
          <w:rFonts w:eastAsia="MS Mincho"/>
          <w:sz w:val="28"/>
          <w:szCs w:val="28"/>
        </w:rPr>
        <w:t xml:space="preserve"> </w:t>
      </w:r>
      <w:r w:rsidR="008F4D45">
        <w:rPr>
          <w:rFonts w:eastAsia="MS Mincho"/>
          <w:sz w:val="28"/>
          <w:szCs w:val="28"/>
        </w:rPr>
        <w:t xml:space="preserve">Кумакова </w:t>
      </w:r>
      <w:r>
        <w:rPr>
          <w:rFonts w:eastAsia="MS Mincho"/>
          <w:sz w:val="28"/>
          <w:szCs w:val="28"/>
        </w:rPr>
        <w:t>на состояние алкогольного опьянения, последующий отказ от прохождения медицинского освидетельствования на состояние опьянения, предъявление ему процессуальных документов, проставление подписей и записей в них Кумаковым</w:t>
      </w:r>
      <w:r>
        <w:rPr>
          <w:rFonts w:eastAsia="MS Mincho"/>
          <w:sz w:val="28"/>
          <w:szCs w:val="28"/>
        </w:rPr>
        <w:t xml:space="preserve">), видеозапись всех событий, происходивших в салоне служебного автомобиля с момента </w:t>
      </w:r>
      <w:r>
        <w:rPr>
          <w:rFonts w:eastAsia="MS Mincho"/>
          <w:sz w:val="28"/>
          <w:szCs w:val="28"/>
        </w:rPr>
        <w:t>появления в нем Кумакова вплоть до приезда на место оперативно-следственной группы;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Копии материалов дела, возбужденного по ч. 1 ст. 228 УК РФ в отношении Кумакова (протоко</w:t>
      </w:r>
      <w:r>
        <w:rPr>
          <w:rFonts w:eastAsia="MS Mincho"/>
          <w:sz w:val="28"/>
          <w:szCs w:val="28"/>
        </w:rPr>
        <w:t>л его дополнительного допроса – показания аналогичны данным в суде; выписка из журнала КУСП – о сообщении 20.02.2024 в 11 часов 55 минут в автомобиле Кумакова вещества растительного происхождения; рапорт ИДПС об остановке автомобиля под управлением Кумаков</w:t>
      </w:r>
      <w:r>
        <w:rPr>
          <w:rFonts w:eastAsia="MS Mincho"/>
          <w:sz w:val="28"/>
          <w:szCs w:val="28"/>
        </w:rPr>
        <w:t>а 20.02.2024 в 12 часов 00 минут и обнаружении в автомобиле вещества; Протокол осмотра места происшествия, проводимого с 15 до 15 часов 30 минут того же дня; Объяснение Кумакова от 20.02.2024 (мировой судья его не использует в качестве доказательства, поск</w:t>
      </w:r>
      <w:r>
        <w:rPr>
          <w:rFonts w:eastAsia="MS Mincho"/>
          <w:sz w:val="28"/>
          <w:szCs w:val="28"/>
        </w:rPr>
        <w:t xml:space="preserve">ольку Кумаков был без оснований предупрежден об ответственности по ст. 17.9 КоАП РФ, тогда как не являлся свидетелем и очевидно являлся подозреваемым); протокола допросов в качестве свидетелей сотрудников ГИБДД </w:t>
      </w:r>
      <w:r>
        <w:rPr>
          <w:rFonts w:eastAsia="MS Mincho"/>
          <w:sz w:val="28"/>
          <w:szCs w:val="28"/>
        </w:rPr>
        <w:t>Карапушкина</w:t>
      </w:r>
      <w:r>
        <w:rPr>
          <w:rFonts w:eastAsia="MS Mincho"/>
          <w:sz w:val="28"/>
          <w:szCs w:val="28"/>
        </w:rPr>
        <w:t xml:space="preserve"> и Ф.</w:t>
      </w:r>
      <w:r>
        <w:rPr>
          <w:rFonts w:eastAsia="MS Mincho"/>
          <w:sz w:val="28"/>
          <w:szCs w:val="28"/>
        </w:rPr>
        <w:t xml:space="preserve"> – пояснили об остан</w:t>
      </w:r>
      <w:r>
        <w:rPr>
          <w:rFonts w:eastAsia="MS Mincho"/>
          <w:sz w:val="28"/>
          <w:szCs w:val="28"/>
        </w:rPr>
        <w:t>овке авто</w:t>
      </w:r>
      <w:r w:rsidR="008D6E58">
        <w:rPr>
          <w:rFonts w:eastAsia="MS Mincho"/>
          <w:sz w:val="28"/>
          <w:szCs w:val="28"/>
        </w:rPr>
        <w:t>мобиля около 12 часов, поведении</w:t>
      </w:r>
      <w:r>
        <w:rPr>
          <w:rFonts w:eastAsia="MS Mincho"/>
          <w:sz w:val="28"/>
          <w:szCs w:val="28"/>
        </w:rPr>
        <w:t xml:space="preserve"> Кумакова не соответствующего обстановке, обнаружении в автомобиле гашиша; протокол допроса понятого Теймур – пояснил что при изъятии гашиша Кумаков пояснил что он принадлежит ему)  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Объяснения сотрудников ГИБДД Ф.</w:t>
      </w:r>
      <w:r>
        <w:rPr>
          <w:rFonts w:eastAsia="MS Mincho"/>
          <w:sz w:val="28"/>
          <w:szCs w:val="28"/>
        </w:rPr>
        <w:t xml:space="preserve"> и К.</w:t>
      </w:r>
      <w:r>
        <w:rPr>
          <w:rFonts w:eastAsia="MS Mincho"/>
          <w:sz w:val="28"/>
          <w:szCs w:val="28"/>
        </w:rPr>
        <w:t xml:space="preserve"> от 06.05.2024, подтвердивших изложенные в вышеуказанных документах обстоятельства, пояснивших что время остановки автомобиля под управлением Кумаковы – около 12 часов, пояснивших что все подписи и записи от имени Кумакова сделаны Кум</w:t>
      </w:r>
      <w:r>
        <w:rPr>
          <w:rFonts w:eastAsia="MS Mincho"/>
          <w:sz w:val="28"/>
          <w:szCs w:val="28"/>
        </w:rPr>
        <w:t xml:space="preserve">аковым, заявивших о вручении ему всех копий документов. </w:t>
      </w:r>
    </w:p>
    <w:p w:rsidR="00514761" w:rsidP="00514761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Изучив материалы дела, мировой судья считает доказанным совершение Кумаковым А.Г. правонарушения, предусмотренного ч. 1 ст. 12.26 Кодекса РФ об административных правонарушениях - </w:t>
      </w:r>
      <w:r>
        <w:rPr>
          <w:sz w:val="28"/>
          <w:szCs w:val="28"/>
        </w:rPr>
        <w:t xml:space="preserve">невыполнение </w:t>
      </w:r>
      <w:r>
        <w:rPr>
          <w:sz w:val="28"/>
          <w:szCs w:val="28"/>
        </w:rPr>
        <w:t>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  <w:r>
        <w:rPr>
          <w:sz w:val="28"/>
          <w:szCs w:val="28"/>
        </w:rPr>
        <w:tab/>
        <w:t>Оснований для прекраще</w:t>
      </w:r>
      <w:r>
        <w:rPr>
          <w:sz w:val="28"/>
          <w:szCs w:val="28"/>
        </w:rPr>
        <w:t xml:space="preserve">ния дела мировой судья не усматривает. Порядок привлечения к административной ответственности соблюден. Законность соблюдения процедуры направления на медицинское освидетельствование подтверждена исследованными доказательствами. </w:t>
      </w:r>
    </w:p>
    <w:p w:rsidR="00514761" w:rsidP="00514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судебного заседания</w:t>
      </w:r>
      <w:r>
        <w:rPr>
          <w:sz w:val="28"/>
          <w:szCs w:val="28"/>
        </w:rPr>
        <w:t xml:space="preserve"> достоверно установлено, что Кумаков А.Г. управлял автомобилем в указанную выше дату и месте, что следует из вышеперечисленных доказательств, не оспаривается самим Кумаковым А.Г. Точное время управления автомобилем (с точностью до минуты) установить невозм</w:t>
      </w:r>
      <w:r>
        <w:rPr>
          <w:sz w:val="28"/>
          <w:szCs w:val="28"/>
        </w:rPr>
        <w:t>ожно, исходя из сообщения в КУСП – оно имело место не позднее 11 часов 55 минут, что очевидно указывает о неверном определении времени сотрудниками ГИБДД, заявившими об остановке автомобиля в 12 часов 00 минут. При этом, эти обстоятельства не относятся к с</w:t>
      </w:r>
      <w:r>
        <w:rPr>
          <w:sz w:val="28"/>
          <w:szCs w:val="28"/>
        </w:rPr>
        <w:t>ущественным нарушениям, поскольку не исключена погрешность технических средств, используемых при определении времени. С учетом пояснений Кумакова, исследованных материалов, очевидным является то, что  время управления автомобилем – 20.02.2024 с период с 11</w:t>
      </w:r>
      <w:r>
        <w:rPr>
          <w:sz w:val="28"/>
          <w:szCs w:val="28"/>
        </w:rPr>
        <w:t xml:space="preserve">.00 до 11 часов 55 минут. Установление этого времени в суде право на защиту Кумакова не нарушает, о незаконности </w:t>
      </w:r>
      <w:r>
        <w:rPr>
          <w:sz w:val="28"/>
          <w:szCs w:val="28"/>
        </w:rPr>
        <w:t>возбуждения дела не указывает, поскольку применение к Кумакову мер обеспечения производства по делу, о неисполнении которых указано в протоколе</w:t>
      </w:r>
      <w:r>
        <w:rPr>
          <w:sz w:val="28"/>
          <w:szCs w:val="28"/>
        </w:rPr>
        <w:t xml:space="preserve">, произошло после остановки автомобиля. Заявление Кумакова о том, что автомобиль остановился не по требованию сотрудников ГИБДД, а в связи с технической неисправностью, факт управления автомобилем не опровергает, на квалификацию действий не влияет. </w:t>
      </w:r>
    </w:p>
    <w:p w:rsidR="00514761" w:rsidP="00514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>
        <w:rPr>
          <w:sz w:val="28"/>
          <w:szCs w:val="28"/>
        </w:rPr>
        <w:t>мировой судья полагает доказанным наличие у Кумакова А.Г. вышеуказанных признаков опьянения (поведение, не соответствующе обстановке), что подтверждено рапортом ИДПС, текстами вышеуказанных процессуальных документов, в которых указано о наличии данных приз</w:t>
      </w:r>
      <w:r>
        <w:rPr>
          <w:sz w:val="28"/>
          <w:szCs w:val="28"/>
        </w:rPr>
        <w:t xml:space="preserve">наков, последующими показаниями сотрудников ГИБДД, не оспаривается и самим Кумаковым, пояснившим что при первом контакте с сотрудниками ГИБДД и дрожал, что можно отнести к поведению, не соответствующему обстановке.  </w:t>
      </w:r>
    </w:p>
    <w:p w:rsidR="00514761" w:rsidP="00514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Предъявление Кумакову требования о про</w:t>
      </w:r>
      <w:r>
        <w:rPr>
          <w:sz w:val="28"/>
          <w:szCs w:val="28"/>
        </w:rPr>
        <w:t xml:space="preserve">хождении медицинского освидетельствования на состояние опьянения полномочным должностным лицом и отказ от выполнения данного требования также подтверждено в ходе судебного заседания – как исследованными документами, так и показаниями Кумакова, данный факт </w:t>
      </w:r>
      <w:r>
        <w:rPr>
          <w:sz w:val="28"/>
          <w:szCs w:val="28"/>
        </w:rPr>
        <w:t xml:space="preserve">подтвердившего, заявившего о том, что вынужден был отказаться в связи с предложением сотрудников ГИБДД. </w:t>
      </w:r>
    </w:p>
    <w:p w:rsidR="00514761" w:rsidP="00514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MS Mincho"/>
          <w:sz w:val="28"/>
          <w:szCs w:val="28"/>
        </w:rPr>
        <w:t>В соответствии с п. 2.3.2 Правил дорожного движения.</w:t>
      </w:r>
      <w:r>
        <w:rPr>
          <w:sz w:val="28"/>
          <w:szCs w:val="28"/>
        </w:rPr>
        <w:t xml:space="preserve"> водитель обязан по требованию должностных лиц, уполномоченных на осуществление федерального госуд</w:t>
      </w:r>
      <w:r>
        <w:rPr>
          <w:sz w:val="28"/>
          <w:szCs w:val="28"/>
        </w:rPr>
        <w:t xml:space="preserve">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514761" w:rsidP="00514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Предъявляя требование о прохождении медицинского освидетельствовани</w:t>
      </w:r>
      <w:r>
        <w:rPr>
          <w:sz w:val="28"/>
          <w:szCs w:val="28"/>
        </w:rPr>
        <w:t xml:space="preserve">я на состояние опьянения инспектор ДПС действовал в пределах своих полномочий. </w:t>
      </w:r>
    </w:p>
    <w:p w:rsidR="00514761" w:rsidP="00514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предъявления указанного требования, установлен ст. 27.12 КоАП РФ, </w:t>
      </w:r>
      <w:r>
        <w:rPr>
          <w:color w:val="26282F"/>
          <w:sz w:val="28"/>
          <w:szCs w:val="28"/>
        </w:rPr>
        <w:t>Постановлением Правительства РФ от 21 октября 2022 г. N 1882</w:t>
      </w:r>
      <w:r>
        <w:rPr>
          <w:color w:val="26282F"/>
          <w:sz w:val="28"/>
          <w:szCs w:val="28"/>
        </w:rPr>
        <w:br/>
        <w:t>"О порядке освидетельствования на состоя</w:t>
      </w:r>
      <w:r>
        <w:rPr>
          <w:color w:val="26282F"/>
          <w:sz w:val="28"/>
          <w:szCs w:val="28"/>
        </w:rPr>
        <w:t>ние алкогольного опьянения и оформления его результатов, направления на медицинское освидетельствование на состояние опьянения"</w:t>
      </w:r>
      <w:r>
        <w:rPr>
          <w:sz w:val="28"/>
          <w:szCs w:val="28"/>
        </w:rPr>
        <w:t xml:space="preserve"> (далее – Правила).</w:t>
      </w:r>
    </w:p>
    <w:p w:rsidR="00514761" w:rsidP="00514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Основанием для направления на медицинское освидетельствование на состояние опьянения послужили </w:t>
      </w:r>
      <w:r>
        <w:rPr>
          <w:rFonts w:eastAsia="MS Mincho"/>
          <w:sz w:val="28"/>
          <w:szCs w:val="28"/>
        </w:rPr>
        <w:t>достаточные о</w:t>
      </w:r>
      <w:r>
        <w:rPr>
          <w:rFonts w:eastAsia="MS Mincho"/>
          <w:sz w:val="28"/>
          <w:szCs w:val="28"/>
        </w:rPr>
        <w:t>снования полагать, что Кумаковнаходится в состоянии опьянения при отрицательных результатах освидетельствования на состояние алкогольного опьянения</w:t>
      </w:r>
      <w:r>
        <w:rPr>
          <w:sz w:val="28"/>
          <w:szCs w:val="28"/>
        </w:rPr>
        <w:t>. Указанные обстоятельства подтверждаются вышеперечисленными доказательствами. Указанное основание для направ</w:t>
      </w:r>
      <w:r>
        <w:rPr>
          <w:sz w:val="28"/>
          <w:szCs w:val="28"/>
        </w:rPr>
        <w:t xml:space="preserve">ления на медицинское освидетельствование предусмотрено ч. 1.1 ст. 12.27 КоАП РФ,  п. 8 Правил. </w:t>
      </w:r>
    </w:p>
    <w:p w:rsidR="00514761" w:rsidP="00514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Предшествующее направлению на медицинское освидетельствование на состояние опьянения требование о прохождении освидетельствования на состояние опьянения при по</w:t>
      </w:r>
      <w:r>
        <w:rPr>
          <w:sz w:val="28"/>
          <w:szCs w:val="28"/>
        </w:rPr>
        <w:t>дтвержденном факте управления транспортным средством с признаками опьянения, является законным на основании ч. 1.1 ст. 27.12 КоАП РФ, п. 8 Правил. Причины появления данных признаков для предъявления требования значения не имеют.</w:t>
      </w:r>
    </w:p>
    <w:p w:rsidR="00514761" w:rsidP="0051476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Согласно разъяснений </w:t>
      </w:r>
      <w:r>
        <w:rPr>
          <w:sz w:val="28"/>
          <w:szCs w:val="28"/>
        </w:rPr>
        <w:t>Постан</w:t>
      </w:r>
      <w:r>
        <w:rPr>
          <w:sz w:val="28"/>
          <w:szCs w:val="28"/>
        </w:rPr>
        <w:t>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</w:t>
      </w:r>
      <w:r>
        <w:rPr>
          <w:sz w:val="28"/>
          <w:szCs w:val="28"/>
        </w:rPr>
        <w:t xml:space="preserve">шениях", 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статьей 12.26</w:t>
        </w:r>
      </w:hyperlink>
      <w:r>
        <w:rPr>
          <w:sz w:val="28"/>
          <w:szCs w:val="28"/>
        </w:rPr>
        <w:t xml:space="preserve"> 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</w:t>
      </w:r>
      <w:r>
        <w:rPr>
          <w:sz w:val="28"/>
          <w:szCs w:val="28"/>
        </w:rPr>
        <w:t xml:space="preserve">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</w:t>
      </w:r>
    </w:p>
    <w:p w:rsidR="00514761" w:rsidP="00514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полагает подтвержденным, что </w:t>
      </w:r>
      <w:r>
        <w:rPr>
          <w:sz w:val="28"/>
          <w:szCs w:val="28"/>
        </w:rPr>
        <w:t xml:space="preserve">Кумаков предпринимал усилия, препятствующие возможности проведения его медицинского освидетельствования на состояние опьянения, прямо заявляя о нежелании его проходить. </w:t>
      </w:r>
    </w:p>
    <w:p w:rsidR="00514761" w:rsidP="00514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MS Mincho"/>
          <w:sz w:val="28"/>
          <w:szCs w:val="28"/>
        </w:rPr>
        <w:t>Мировой судья полагает доказанным отказ Кумакова от выполнения законного требования о</w:t>
      </w:r>
      <w:r>
        <w:rPr>
          <w:rFonts w:eastAsia="MS Mincho"/>
          <w:sz w:val="28"/>
          <w:szCs w:val="28"/>
        </w:rPr>
        <w:t xml:space="preserve"> прохождении медицинского освидетельствования на состояние опьянения при изложенных в представленном протоколе об административных правонарушениях обстоятельствах. У </w:t>
      </w:r>
      <w:r>
        <w:rPr>
          <w:sz w:val="28"/>
          <w:szCs w:val="28"/>
        </w:rPr>
        <w:t>мирового судьи отсутствуют сомнения относительно полноты и правильности фиксирования в пре</w:t>
      </w:r>
      <w:r>
        <w:rPr>
          <w:sz w:val="28"/>
          <w:szCs w:val="28"/>
        </w:rPr>
        <w:t xml:space="preserve">дставленных процессуальных документах содержания и результатов проводимых процессуальных действий. Последовательность действий для соблюдения законности требования должностными лицами соблюдена, в связи с чем возможно неточное </w:t>
      </w:r>
      <w:r w:rsidR="008D6E58">
        <w:rPr>
          <w:sz w:val="28"/>
          <w:szCs w:val="28"/>
        </w:rPr>
        <w:t xml:space="preserve">(до минуты) </w:t>
      </w:r>
      <w:r>
        <w:rPr>
          <w:sz w:val="28"/>
          <w:szCs w:val="28"/>
        </w:rPr>
        <w:t>указание в проток</w:t>
      </w:r>
      <w:r>
        <w:rPr>
          <w:sz w:val="28"/>
          <w:szCs w:val="28"/>
        </w:rPr>
        <w:t>оле времени отказа от прохождении медицинского освидетельствования (с учетом возможной погрешности используемого для определения времени технического средства) не относится к обстоятельствам, влекущим прекращение дела, права на защиту Кумакова не нарушает</w:t>
      </w:r>
      <w:r w:rsidR="008D6E58">
        <w:rPr>
          <w:sz w:val="28"/>
          <w:szCs w:val="28"/>
        </w:rPr>
        <w:t>, на сроки давности привлечения к ответственности и на подсудность дела не влияет</w:t>
      </w:r>
      <w:r>
        <w:rPr>
          <w:sz w:val="28"/>
          <w:szCs w:val="28"/>
        </w:rPr>
        <w:t xml:space="preserve">. </w:t>
      </w:r>
    </w:p>
    <w:p w:rsidR="00514761" w:rsidP="00514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видеозаписи всех событий, происходивших в салоне автомобиля ГИБДД, указывает, что сотрудник ГИБДД, после отказа Кумакова от прохождения медицинского освидетельствова</w:t>
      </w:r>
      <w:r>
        <w:rPr>
          <w:sz w:val="28"/>
          <w:szCs w:val="28"/>
        </w:rPr>
        <w:t>ния на состояние опьянения, дожидаясь приезда следственно-оперативной группы, в имеющихся при нем процессуальных документах производит записи, какие именно точно определить невозможно, с учетом диалога между сотрудником ГИБДД и Кумаковым следует о внесении</w:t>
      </w:r>
      <w:r>
        <w:rPr>
          <w:sz w:val="28"/>
          <w:szCs w:val="28"/>
        </w:rPr>
        <w:t xml:space="preserve"> в имеющийся при сотруднике документ дополнительных сведений о личности Кумакова – его месте жительства, а также сведений о личности инспектора (проставление штампа). Эти действия не относятся к обстоятельствам, влекущим недействительность представленных д</w:t>
      </w:r>
      <w:r>
        <w:rPr>
          <w:sz w:val="28"/>
          <w:szCs w:val="28"/>
        </w:rPr>
        <w:t>окументов, в том числе отражающих обстоятельства направления на медосвидетельствование, предшествующих ему событий, отношения к требованию Кумакова. Из видеозаписи очевидно следует о</w:t>
      </w:r>
      <w:r w:rsidR="008D6E58">
        <w:rPr>
          <w:sz w:val="28"/>
          <w:szCs w:val="28"/>
        </w:rPr>
        <w:t xml:space="preserve"> </w:t>
      </w:r>
      <w:r w:rsidR="008D6E58">
        <w:rPr>
          <w:sz w:val="28"/>
          <w:szCs w:val="28"/>
        </w:rPr>
        <w:t xml:space="preserve">конкретности </w:t>
      </w:r>
      <w:r>
        <w:rPr>
          <w:sz w:val="28"/>
          <w:szCs w:val="28"/>
        </w:rPr>
        <w:t xml:space="preserve">требования, предъявления при </w:t>
      </w:r>
      <w:r w:rsidR="008D6E58">
        <w:rPr>
          <w:sz w:val="28"/>
          <w:szCs w:val="28"/>
        </w:rPr>
        <w:t>требовании</w:t>
      </w:r>
      <w:r>
        <w:rPr>
          <w:sz w:val="28"/>
          <w:szCs w:val="28"/>
        </w:rPr>
        <w:t xml:space="preserve"> документов Кумакову,</w:t>
      </w:r>
      <w:r>
        <w:rPr>
          <w:sz w:val="28"/>
          <w:szCs w:val="28"/>
        </w:rPr>
        <w:t xml:space="preserve"> его очевидной информированности о сути документа, изложенного в нем требования, проставлении им подписей и записей в соответствующих графах, в связи с чем последующее возможное внесение сведений о личности Кумакова и инспектора в неустановленный документ </w:t>
      </w:r>
      <w:r>
        <w:rPr>
          <w:sz w:val="28"/>
          <w:szCs w:val="28"/>
        </w:rPr>
        <w:t>сути отраженных в документе сведений не изменяет. Записи производились в присутствии Кумакова. Его заявление о непринадлежности подписи в протоколе о направлении на медицинское освидетельствование опровергается видеозаписью и показаниями сотрудников ГИБДД.</w:t>
      </w:r>
      <w:r>
        <w:rPr>
          <w:sz w:val="28"/>
          <w:szCs w:val="28"/>
        </w:rPr>
        <w:t xml:space="preserve"> Заявление Кумакова о том, что ему не вручались копии документов (со ссылкой на отсутствие факта вручения на видеозаписи) мировой судья полагает неискренним, поскольку подписи о получении копий в документах имеются, видеозапись из салона служебного автомоб</w:t>
      </w:r>
      <w:r>
        <w:rPr>
          <w:sz w:val="28"/>
          <w:szCs w:val="28"/>
        </w:rPr>
        <w:t xml:space="preserve">иля не охватывает всех действий с Кумаковым (из видеозаписи следует о том, что из салона Кумаков с инспектором выходил), кроме того, Кумаков получил дополнительно все копии документов в суде при ознакомлении с делом. Заявление Кумакова, зафиксированное на </w:t>
      </w:r>
      <w:r>
        <w:rPr>
          <w:sz w:val="28"/>
          <w:szCs w:val="28"/>
        </w:rPr>
        <w:t xml:space="preserve">видеозаписи в 13 часов 47 минут (по субтитрам видеозаписи) о том, что он хочет пройти медосвидетельствование не указывает о неправомерности квалификации его действий, так как отказ от </w:t>
      </w:r>
      <w:r w:rsidR="008D6E58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прохождения он заявил более чем за 1 час до этого, правовых основани</w:t>
      </w:r>
      <w:r>
        <w:rPr>
          <w:sz w:val="28"/>
          <w:szCs w:val="28"/>
        </w:rPr>
        <w:t>й для предъявления ему повторного аналогичного требования не имелось. Заявление Кумакова о том, что он отказался от прохождения медосвидетельствоания в связи с предшествующим обещанием и предложением с</w:t>
      </w:r>
      <w:r w:rsidR="008D6E58">
        <w:rPr>
          <w:sz w:val="28"/>
          <w:szCs w:val="28"/>
        </w:rPr>
        <w:t>о стороны сотрудников ГИБДД мир</w:t>
      </w:r>
      <w:r>
        <w:rPr>
          <w:sz w:val="28"/>
          <w:szCs w:val="28"/>
        </w:rPr>
        <w:t>овой судья полагает ложн</w:t>
      </w:r>
      <w:r>
        <w:rPr>
          <w:sz w:val="28"/>
          <w:szCs w:val="28"/>
        </w:rPr>
        <w:t>ым, поскольку на видеозаписи всех событий и диалогов Кумакова с ИДПС, не зафиксировано какое</w:t>
      </w:r>
      <w:r w:rsidR="008D6E58">
        <w:rPr>
          <w:sz w:val="28"/>
          <w:szCs w:val="28"/>
        </w:rPr>
        <w:t>-либо его аналогичное заявление (</w:t>
      </w:r>
      <w:r>
        <w:rPr>
          <w:sz w:val="28"/>
          <w:szCs w:val="28"/>
        </w:rPr>
        <w:t>либо вопрос к сотрудникам о причинах невыполнения предыдущих договоренностей</w:t>
      </w:r>
      <w:r w:rsidR="008D6E5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8D6E58">
        <w:rPr>
          <w:sz w:val="28"/>
          <w:szCs w:val="28"/>
        </w:rPr>
        <w:t xml:space="preserve"> Кроме того, заявление Кумакова в этой части нелогично, не объясняет причин проведения освидетельствования на состояние алкогольного опьянения (почему не выразил отказ от его прохождения).</w:t>
      </w:r>
      <w:r>
        <w:rPr>
          <w:sz w:val="28"/>
          <w:szCs w:val="28"/>
        </w:rPr>
        <w:t xml:space="preserve"> </w:t>
      </w:r>
    </w:p>
    <w:p w:rsidR="00514761" w:rsidP="00514761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  <w:t>При назначении административного наказания мировой судья учитывает характер совершенного админис</w:t>
      </w:r>
      <w:r>
        <w:rPr>
          <w:sz w:val="28"/>
          <w:szCs w:val="28"/>
        </w:rPr>
        <w:t>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514761" w:rsidP="00514761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>
        <w:rPr>
          <w:sz w:val="28"/>
          <w:szCs w:val="28"/>
        </w:rPr>
        <w:t>Обстоятельств, отягчающих административную ответственно</w:t>
      </w:r>
      <w:r>
        <w:rPr>
          <w:sz w:val="28"/>
          <w:szCs w:val="28"/>
        </w:rPr>
        <w:t xml:space="preserve">сть, мировой судья не усматривает, совершение правонарушений, отраженных в представленном незаверенном реестре, не подтверждено, поскольку копий соответствующих постановлений (указанных в реестре) с делом не представлено. 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Обстоятельств, смягчающих админис</w:t>
      </w:r>
      <w:r>
        <w:rPr>
          <w:sz w:val="28"/>
          <w:szCs w:val="28"/>
        </w:rPr>
        <w:t xml:space="preserve">тративную ответственность, также не установлено. 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 учетом изложенного, мировой судья целесообразным назначить наказание в виде лишения права управления транспортным средством и штрафа. Оснований для назначения максимального срока лишения права управления </w:t>
      </w:r>
      <w:r>
        <w:rPr>
          <w:rFonts w:eastAsia="MS Mincho"/>
          <w:sz w:val="28"/>
          <w:szCs w:val="28"/>
        </w:rPr>
        <w:t xml:space="preserve">транспортным средством мировой судья не усматривает, также как </w:t>
      </w:r>
      <w:r w:rsidR="008D6E58">
        <w:rPr>
          <w:rFonts w:eastAsia="MS Mincho"/>
          <w:sz w:val="28"/>
          <w:szCs w:val="28"/>
        </w:rPr>
        <w:t>не усматривает</w:t>
      </w:r>
      <w:r>
        <w:rPr>
          <w:rFonts w:eastAsia="MS Mincho"/>
          <w:sz w:val="28"/>
          <w:szCs w:val="28"/>
        </w:rPr>
        <w:t xml:space="preserve"> оснований для назначения минимального срока.   </w:t>
      </w:r>
    </w:p>
    <w:p w:rsidR="00514761" w:rsidP="00514761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Руководствуясь ст. ст. 3.5, 3.8 12.26 ч. 1, 23.1, 29.9 – 29.11. Кодекса РФ об административных правонарушениях, мировой судья</w:t>
      </w:r>
    </w:p>
    <w:p w:rsidR="00514761" w:rsidP="00514761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ab/>
      </w:r>
    </w:p>
    <w:p w:rsidR="00514761" w:rsidP="00514761">
      <w:pPr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ab/>
      </w:r>
      <w:r>
        <w:rPr>
          <w:rFonts w:eastAsia="MS Mincho"/>
          <w:b/>
          <w:sz w:val="28"/>
          <w:szCs w:val="28"/>
        </w:rPr>
        <w:tab/>
      </w:r>
      <w:r>
        <w:rPr>
          <w:rFonts w:eastAsia="MS Mincho"/>
          <w:b/>
          <w:sz w:val="28"/>
          <w:szCs w:val="28"/>
        </w:rPr>
        <w:tab/>
      </w:r>
      <w:r>
        <w:rPr>
          <w:rFonts w:eastAsia="MS Mincho"/>
          <w:b/>
          <w:sz w:val="28"/>
          <w:szCs w:val="28"/>
        </w:rPr>
        <w:tab/>
      </w:r>
      <w:r>
        <w:rPr>
          <w:rFonts w:eastAsia="MS Mincho"/>
          <w:b/>
          <w:sz w:val="28"/>
          <w:szCs w:val="28"/>
        </w:rPr>
        <w:tab/>
        <w:t>ПОСТАНОВИЛ:</w:t>
      </w:r>
    </w:p>
    <w:p w:rsidR="00514761" w:rsidP="00514761">
      <w:pPr>
        <w:jc w:val="both"/>
        <w:rPr>
          <w:rFonts w:eastAsia="MS Mincho"/>
          <w:b/>
          <w:sz w:val="16"/>
          <w:szCs w:val="16"/>
        </w:rPr>
      </w:pPr>
    </w:p>
    <w:p w:rsidR="00514761" w:rsidRPr="00514761" w:rsidP="00514761">
      <w:pPr>
        <w:pStyle w:val="PlainText"/>
        <w:ind w:firstLine="708"/>
        <w:jc w:val="both"/>
        <w:rPr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Гражданина Кумакова Алима Гаджиевича признать виновным в совершении правонарушения, предусмотренного ч. 1 ст. 12.26 Кодекса РФ об административных правонарушениях, и назначить ему административное наказание в виде лишения права управления </w:t>
      </w:r>
      <w:r>
        <w:rPr>
          <w:rFonts w:ascii="Times New Roman" w:eastAsia="MS Mincho" w:hAnsi="Times New Roman"/>
          <w:sz w:val="28"/>
          <w:szCs w:val="28"/>
        </w:rPr>
        <w:t xml:space="preserve">транспортными средствами сроком на один год и девять месяцев и административного штрафа в сумме 30000 (тридцать тысяч) </w:t>
      </w:r>
      <w:r w:rsidRPr="00514761">
        <w:rPr>
          <w:rFonts w:ascii="Times New Roman" w:eastAsia="MS Mincho" w:hAnsi="Times New Roman"/>
          <w:sz w:val="28"/>
          <w:szCs w:val="28"/>
        </w:rPr>
        <w:t>рублей.</w:t>
      </w:r>
    </w:p>
    <w:p w:rsidR="00514761" w:rsidRPr="00514761" w:rsidP="00514761">
      <w:pPr>
        <w:ind w:firstLine="708"/>
        <w:jc w:val="both"/>
        <w:rPr>
          <w:rFonts w:eastAsia="MS Mincho"/>
          <w:sz w:val="28"/>
          <w:szCs w:val="28"/>
        </w:rPr>
      </w:pPr>
      <w:r w:rsidRPr="00514761">
        <w:rPr>
          <w:rFonts w:eastAsia="MS Mincho"/>
          <w:sz w:val="28"/>
          <w:szCs w:val="28"/>
        </w:rPr>
        <w:t xml:space="preserve">Штраф подлежит перечислению на счет: </w:t>
      </w:r>
    </w:p>
    <w:tbl>
      <w:tblPr>
        <w:tblW w:w="0" w:type="auto"/>
        <w:tblCellSpacing w:w="15" w:type="dxa"/>
        <w:tblLook w:val="04A0"/>
      </w:tblPr>
      <w:tblGrid>
        <w:gridCol w:w="3402"/>
        <w:gridCol w:w="5952"/>
      </w:tblGrid>
      <w:tr w:rsidTr="00514761">
        <w:tblPrEx>
          <w:tblW w:w="0" w:type="auto"/>
          <w:tblCellSpacing w:w="15" w:type="dxa"/>
          <w:tblLook w:val="04A0"/>
        </w:tblPrEx>
        <w:trPr>
          <w:tblCellSpacing w:w="15" w:type="dxa"/>
        </w:trPr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761" w:rsidRPr="00514761">
            <w:pPr>
              <w:rPr>
                <w:sz w:val="28"/>
                <w:szCs w:val="28"/>
              </w:rPr>
            </w:pPr>
            <w:r w:rsidRPr="00514761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761" w:rsidRPr="00514761">
            <w:pPr>
              <w:rPr>
                <w:sz w:val="28"/>
                <w:szCs w:val="28"/>
              </w:rPr>
            </w:pPr>
            <w:r w:rsidRPr="00514761">
              <w:rPr>
                <w:rStyle w:val="Strong"/>
                <w:rFonts w:eastAsiaTheme="majorEastAsia"/>
                <w:b w:val="0"/>
                <w:sz w:val="28"/>
                <w:szCs w:val="28"/>
              </w:rPr>
              <w:t>УФК по Тюменской области (ОМВД России по Уватскому району)</w:t>
            </w:r>
            <w:r w:rsidRPr="00514761">
              <w:rPr>
                <w:sz w:val="28"/>
                <w:szCs w:val="28"/>
              </w:rPr>
              <w:t xml:space="preserve"> </w:t>
            </w:r>
          </w:p>
        </w:tc>
      </w:tr>
      <w:tr w:rsidTr="00514761">
        <w:tblPrEx>
          <w:tblW w:w="0" w:type="auto"/>
          <w:tblCellSpacing w:w="15" w:type="dxa"/>
          <w:tblLook w:val="04A0"/>
        </w:tblPrEx>
        <w:trPr>
          <w:tblCellSpacing w:w="15" w:type="dxa"/>
        </w:trPr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761" w:rsidRPr="00514761">
            <w:pPr>
              <w:rPr>
                <w:sz w:val="28"/>
                <w:szCs w:val="28"/>
              </w:rPr>
            </w:pPr>
            <w:r w:rsidRPr="00514761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761" w:rsidRPr="00514761">
            <w:pPr>
              <w:rPr>
                <w:sz w:val="28"/>
                <w:szCs w:val="28"/>
              </w:rPr>
            </w:pPr>
            <w:r w:rsidRPr="00514761">
              <w:rPr>
                <w:rStyle w:val="Strong"/>
                <w:rFonts w:eastAsiaTheme="majorEastAsia"/>
                <w:b w:val="0"/>
                <w:sz w:val="28"/>
                <w:szCs w:val="28"/>
              </w:rPr>
              <w:t>725002401</w:t>
            </w:r>
          </w:p>
        </w:tc>
      </w:tr>
      <w:tr w:rsidTr="00514761">
        <w:tblPrEx>
          <w:tblW w:w="0" w:type="auto"/>
          <w:tblCellSpacing w:w="15" w:type="dxa"/>
          <w:tblLook w:val="04A0"/>
        </w:tblPrEx>
        <w:trPr>
          <w:tblCellSpacing w:w="15" w:type="dxa"/>
        </w:trPr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761" w:rsidRPr="00514761">
            <w:pPr>
              <w:rPr>
                <w:sz w:val="28"/>
                <w:szCs w:val="28"/>
              </w:rPr>
            </w:pPr>
            <w:r w:rsidRPr="00514761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761" w:rsidRPr="00514761">
            <w:pPr>
              <w:rPr>
                <w:sz w:val="28"/>
                <w:szCs w:val="28"/>
              </w:rPr>
            </w:pPr>
            <w:r w:rsidRPr="00514761">
              <w:rPr>
                <w:rStyle w:val="Strong"/>
                <w:rFonts w:eastAsiaTheme="majorEastAsia"/>
                <w:b w:val="0"/>
                <w:sz w:val="28"/>
                <w:szCs w:val="28"/>
              </w:rPr>
              <w:t>720601001</w:t>
            </w:r>
          </w:p>
        </w:tc>
      </w:tr>
      <w:tr w:rsidTr="00514761">
        <w:tblPrEx>
          <w:tblW w:w="0" w:type="auto"/>
          <w:tblCellSpacing w:w="15" w:type="dxa"/>
          <w:tblLook w:val="04A0"/>
        </w:tblPrEx>
        <w:trPr>
          <w:tblCellSpacing w:w="15" w:type="dxa"/>
        </w:trPr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761" w:rsidRPr="00514761">
            <w:pPr>
              <w:rPr>
                <w:sz w:val="28"/>
                <w:szCs w:val="28"/>
              </w:rPr>
            </w:pPr>
            <w:r w:rsidRPr="00514761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761" w:rsidRPr="00514761">
            <w:pPr>
              <w:rPr>
                <w:sz w:val="28"/>
                <w:szCs w:val="28"/>
              </w:rPr>
            </w:pPr>
            <w:r w:rsidRPr="00514761">
              <w:rPr>
                <w:rStyle w:val="Strong"/>
                <w:rFonts w:eastAsiaTheme="majorEastAsia"/>
                <w:b w:val="0"/>
                <w:sz w:val="28"/>
                <w:szCs w:val="28"/>
              </w:rPr>
              <w:t>03100643000000016700</w:t>
            </w:r>
          </w:p>
        </w:tc>
      </w:tr>
      <w:tr w:rsidTr="00514761">
        <w:tblPrEx>
          <w:tblW w:w="0" w:type="auto"/>
          <w:tblCellSpacing w:w="15" w:type="dxa"/>
          <w:tblLook w:val="04A0"/>
        </w:tblPrEx>
        <w:trPr>
          <w:tblCellSpacing w:w="15" w:type="dxa"/>
        </w:trPr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761" w:rsidRPr="00514761">
            <w:pPr>
              <w:rPr>
                <w:sz w:val="28"/>
                <w:szCs w:val="28"/>
              </w:rPr>
            </w:pPr>
            <w:r w:rsidRPr="00514761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761" w:rsidRPr="00514761">
            <w:pPr>
              <w:rPr>
                <w:sz w:val="28"/>
                <w:szCs w:val="28"/>
              </w:rPr>
            </w:pPr>
            <w:r w:rsidRPr="00514761">
              <w:rPr>
                <w:rStyle w:val="Strong"/>
                <w:rFonts w:eastAsiaTheme="majorEastAsia"/>
                <w:b w:val="0"/>
                <w:sz w:val="28"/>
                <w:szCs w:val="28"/>
              </w:rPr>
              <w:t>40102810945370000060</w:t>
            </w:r>
          </w:p>
        </w:tc>
      </w:tr>
      <w:tr w:rsidTr="00514761">
        <w:tblPrEx>
          <w:tblW w:w="0" w:type="auto"/>
          <w:tblCellSpacing w:w="15" w:type="dxa"/>
          <w:tblLook w:val="04A0"/>
        </w:tblPrEx>
        <w:trPr>
          <w:tblCellSpacing w:w="15" w:type="dxa"/>
        </w:trPr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761" w:rsidRPr="00514761">
            <w:pPr>
              <w:rPr>
                <w:sz w:val="28"/>
                <w:szCs w:val="28"/>
              </w:rPr>
            </w:pPr>
            <w:r w:rsidRPr="00514761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761" w:rsidRPr="00514761">
            <w:pPr>
              <w:rPr>
                <w:sz w:val="28"/>
                <w:szCs w:val="28"/>
              </w:rPr>
            </w:pPr>
            <w:r w:rsidRPr="00514761">
              <w:rPr>
                <w:rStyle w:val="Strong"/>
                <w:rFonts w:eastAsiaTheme="majorEastAsia"/>
                <w:b w:val="0"/>
                <w:sz w:val="28"/>
                <w:szCs w:val="28"/>
              </w:rPr>
              <w:t>ОТДЕЛЕНИЕ ТЮМЕНЬ БАНКА РОССИИ//УФК по Тюменской области г. Тюмень</w:t>
            </w:r>
          </w:p>
        </w:tc>
      </w:tr>
      <w:tr w:rsidTr="00514761">
        <w:tblPrEx>
          <w:tblW w:w="0" w:type="auto"/>
          <w:tblCellSpacing w:w="15" w:type="dxa"/>
          <w:tblLook w:val="04A0"/>
        </w:tblPrEx>
        <w:trPr>
          <w:tblCellSpacing w:w="15" w:type="dxa"/>
        </w:trPr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761" w:rsidRPr="00514761">
            <w:pPr>
              <w:rPr>
                <w:sz w:val="28"/>
                <w:szCs w:val="28"/>
              </w:rPr>
            </w:pPr>
            <w:r w:rsidRPr="00514761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761" w:rsidRPr="00514761">
            <w:pPr>
              <w:rPr>
                <w:sz w:val="28"/>
                <w:szCs w:val="28"/>
              </w:rPr>
            </w:pPr>
            <w:r w:rsidRPr="00514761">
              <w:rPr>
                <w:rStyle w:val="Strong"/>
                <w:rFonts w:eastAsiaTheme="majorEastAsia"/>
                <w:b w:val="0"/>
                <w:sz w:val="28"/>
                <w:szCs w:val="28"/>
              </w:rPr>
              <w:t>017102101</w:t>
            </w:r>
          </w:p>
        </w:tc>
      </w:tr>
      <w:tr w:rsidTr="00514761">
        <w:tblPrEx>
          <w:tblW w:w="0" w:type="auto"/>
          <w:tblCellSpacing w:w="15" w:type="dxa"/>
          <w:tblLook w:val="04A0"/>
        </w:tblPrEx>
        <w:trPr>
          <w:tblCellSpacing w:w="15" w:type="dxa"/>
        </w:trPr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761" w:rsidRPr="00514761">
            <w:pPr>
              <w:rPr>
                <w:sz w:val="28"/>
                <w:szCs w:val="28"/>
              </w:rPr>
            </w:pPr>
            <w:r w:rsidRPr="00514761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761" w:rsidRPr="00514761">
            <w:pPr>
              <w:rPr>
                <w:sz w:val="28"/>
                <w:szCs w:val="28"/>
              </w:rPr>
            </w:pPr>
            <w:r w:rsidRPr="00514761">
              <w:rPr>
                <w:rStyle w:val="Strong"/>
                <w:rFonts w:eastAsiaTheme="majorEastAsia"/>
                <w:b w:val="0"/>
                <w:sz w:val="28"/>
                <w:szCs w:val="28"/>
              </w:rPr>
              <w:t>720601001</w:t>
            </w:r>
          </w:p>
        </w:tc>
      </w:tr>
    </w:tbl>
    <w:p w:rsidR="00514761" w:rsidRPr="00514761" w:rsidP="00514761">
      <w:pPr>
        <w:ind w:firstLine="708"/>
        <w:jc w:val="both"/>
        <w:rPr>
          <w:snapToGrid w:val="0"/>
          <w:sz w:val="28"/>
          <w:szCs w:val="28"/>
        </w:rPr>
      </w:pPr>
      <w:r w:rsidRPr="00514761">
        <w:rPr>
          <w:snapToGrid w:val="0"/>
          <w:sz w:val="28"/>
          <w:szCs w:val="28"/>
        </w:rPr>
        <w:t xml:space="preserve">КБК </w:t>
      </w:r>
      <w:r w:rsidRPr="00514761">
        <w:rPr>
          <w:sz w:val="28"/>
          <w:szCs w:val="28"/>
        </w:rPr>
        <w:t>18811601123010001140</w:t>
      </w:r>
    </w:p>
    <w:p w:rsidR="00514761" w:rsidRPr="00514761" w:rsidP="00514761">
      <w:pPr>
        <w:jc w:val="both"/>
        <w:rPr>
          <w:sz w:val="28"/>
          <w:szCs w:val="28"/>
        </w:rPr>
      </w:pPr>
      <w:r w:rsidRPr="00514761">
        <w:rPr>
          <w:sz w:val="28"/>
          <w:szCs w:val="28"/>
        </w:rPr>
        <w:t>УИН 18810472240800003947</w:t>
      </w:r>
    </w:p>
    <w:p w:rsidR="00514761" w:rsidP="00514761">
      <w:pPr>
        <w:ind w:firstLine="390"/>
        <w:jc w:val="both"/>
        <w:rPr>
          <w:sz w:val="28"/>
          <w:szCs w:val="28"/>
        </w:rPr>
      </w:pPr>
      <w:r w:rsidRPr="00514761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</w:t>
      </w:r>
      <w:r w:rsidRPr="00514761">
        <w:rPr>
          <w:sz w:val="28"/>
          <w:szCs w:val="28"/>
        </w:rPr>
        <w:t>исполнение постановления о лишении права управления транспортным</w:t>
      </w:r>
      <w:r>
        <w:rPr>
          <w:sz w:val="28"/>
          <w:szCs w:val="28"/>
        </w:rPr>
        <w:t xml:space="preserve"> средством соответствующего вида осуществляется путем изъятия водительског</w:t>
      </w:r>
      <w:r>
        <w:rPr>
          <w:sz w:val="28"/>
          <w:szCs w:val="28"/>
        </w:rPr>
        <w:t xml:space="preserve">о удостоверения. 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</w:t>
      </w:r>
      <w:r>
        <w:rPr>
          <w:sz w:val="28"/>
          <w:szCs w:val="28"/>
        </w:rPr>
        <w:t xml:space="preserve">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r:id="rId6" w:anchor="p11068" w:tooltip="Текущий документ" w:history="1">
        <w:r>
          <w:rPr>
            <w:rStyle w:val="Hyperlink"/>
            <w:color w:val="auto"/>
            <w:sz w:val="28"/>
            <w:szCs w:val="28"/>
            <w:u w:val="none"/>
          </w:rPr>
          <w:t>частями 1</w:t>
        </w:r>
      </w:hyperlink>
      <w:r>
        <w:rPr>
          <w:sz w:val="28"/>
          <w:szCs w:val="28"/>
        </w:rPr>
        <w:t xml:space="preserve"> - </w:t>
      </w:r>
      <w:hyperlink r:id="rId6" w:anchor="p11072" w:tooltip="Текущий документ" w:history="1">
        <w:r>
          <w:rPr>
            <w:rStyle w:val="Hyperlink"/>
            <w:color w:val="auto"/>
            <w:sz w:val="28"/>
            <w:szCs w:val="28"/>
            <w:u w:val="none"/>
          </w:rPr>
          <w:t>3 статьи 32.6</w:t>
        </w:r>
      </w:hyperlink>
      <w:r>
        <w:rPr>
          <w:sz w:val="28"/>
          <w:szCs w:val="28"/>
        </w:rPr>
        <w:t xml:space="preserve"> настоящего Кодекса, в орган, исполняющий этот вид админ</w:t>
      </w:r>
      <w:r>
        <w:rPr>
          <w:sz w:val="28"/>
          <w:szCs w:val="28"/>
        </w:rPr>
        <w:t>истративного наказания (в данном случае ГИБДД ОМВД России по г. Пыть-Яха), а в случае утраты указанных документов заявить об этом в указанный орган в тот же срок.  В случае уклонения лица, лишенного специального права, от сдачи соответствующего удостоверен</w:t>
      </w:r>
      <w:r>
        <w:rPr>
          <w:sz w:val="28"/>
          <w:szCs w:val="28"/>
        </w:rPr>
        <w:t>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</w:t>
      </w:r>
      <w:r>
        <w:rPr>
          <w:sz w:val="28"/>
          <w:szCs w:val="28"/>
        </w:rPr>
        <w:t xml:space="preserve">ентов, а равно получения органом, исполняющим этот вид </w:t>
      </w:r>
      <w:r>
        <w:rPr>
          <w:sz w:val="28"/>
          <w:szCs w:val="28"/>
        </w:rPr>
        <w:t xml:space="preserve">административного наказания, заявления лица об утрате указанных документов.  </w:t>
      </w:r>
    </w:p>
    <w:p w:rsidR="00514761" w:rsidP="005147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>
        <w:rPr>
          <w:sz w:val="28"/>
          <w:szCs w:val="28"/>
        </w:rPr>
        <w:t>администрати</w:t>
      </w:r>
      <w:r>
        <w:rPr>
          <w:sz w:val="28"/>
          <w:szCs w:val="28"/>
        </w:rPr>
        <w:t>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</w:t>
      </w:r>
      <w:r>
        <w:rPr>
          <w:sz w:val="28"/>
          <w:szCs w:val="28"/>
        </w:rPr>
        <w:t>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</w:t>
      </w:r>
      <w:r>
        <w:rPr>
          <w:sz w:val="28"/>
          <w:szCs w:val="28"/>
        </w:rPr>
        <w:t>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</w:t>
      </w:r>
      <w:r>
        <w:rPr>
          <w:sz w:val="28"/>
          <w:szCs w:val="28"/>
        </w:rPr>
        <w:t>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514761" w:rsidP="00514761">
      <w:pPr>
        <w:ind w:firstLine="39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</w:t>
      </w:r>
      <w:r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>
        <w:rPr>
          <w:rFonts w:eastAsia="MS Mincho"/>
          <w:sz w:val="28"/>
          <w:szCs w:val="28"/>
        </w:rPr>
        <w:t>уд Ханты-Мансийского автономного округа-Югры.</w:t>
      </w:r>
    </w:p>
    <w:p w:rsidR="00514761" w:rsidP="00514761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Постановление объявлено 30.05.2024, мотивирова</w:t>
      </w:r>
      <w:r w:rsidR="00A433E0">
        <w:rPr>
          <w:rFonts w:eastAsia="MS Mincho"/>
          <w:sz w:val="28"/>
          <w:szCs w:val="28"/>
        </w:rPr>
        <w:t>нное постановление составлено 30.05</w:t>
      </w:r>
      <w:r>
        <w:rPr>
          <w:rFonts w:eastAsia="MS Mincho"/>
          <w:sz w:val="28"/>
          <w:szCs w:val="28"/>
        </w:rPr>
        <w:t>.2024.</w:t>
      </w:r>
    </w:p>
    <w:p w:rsidR="00514761" w:rsidP="00514761">
      <w:pPr>
        <w:rPr>
          <w:rFonts w:eastAsia="MS Mincho"/>
          <w:sz w:val="28"/>
          <w:szCs w:val="28"/>
        </w:rPr>
      </w:pPr>
    </w:p>
    <w:p w:rsidR="00514761" w:rsidP="00514761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:rsidR="00514761" w:rsidP="00514761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>Клочков А.А.</w:t>
      </w:r>
    </w:p>
    <w:p w:rsidR="00514761" w:rsidP="00514761">
      <w:pPr>
        <w:jc w:val="both"/>
        <w:rPr>
          <w:rFonts w:eastAsia="MS Mincho"/>
          <w:sz w:val="28"/>
          <w:szCs w:val="28"/>
        </w:rPr>
      </w:pPr>
    </w:p>
    <w:p w:rsidR="00201D7B"/>
    <w:sectPr w:rsidSect="0051476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61"/>
    <w:rsid w:val="00201D7B"/>
    <w:rsid w:val="00514761"/>
    <w:rsid w:val="00643998"/>
    <w:rsid w:val="0080251E"/>
    <w:rsid w:val="008D6E58"/>
    <w:rsid w:val="008F4D45"/>
    <w:rsid w:val="009C7625"/>
    <w:rsid w:val="00A433E0"/>
    <w:rsid w:val="00B73A05"/>
    <w:rsid w:val="00E04C4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CBE7E0-379B-4BE9-8B5D-73ABB5C4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semiHidden/>
    <w:unhideWhenUsed/>
    <w:rsid w:val="00514761"/>
    <w:rPr>
      <w:rFonts w:ascii="Courier New" w:hAnsi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semiHidden/>
    <w:rsid w:val="0051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-color-passive">
    <w:name w:val="t-color-passive"/>
    <w:basedOn w:val="DefaultParagraphFont"/>
    <w:rsid w:val="00514761"/>
  </w:style>
  <w:style w:type="character" w:styleId="Hyperlink">
    <w:name w:val="Hyperlink"/>
    <w:basedOn w:val="DefaultParagraphFont"/>
    <w:uiPriority w:val="99"/>
    <w:semiHidden/>
    <w:unhideWhenUsed/>
    <w:rsid w:val="005147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4761"/>
    <w:rPr>
      <w:b/>
      <w:bCs/>
    </w:rPr>
  </w:style>
  <w:style w:type="paragraph" w:styleId="BalloonText">
    <w:name w:val="Balloon Text"/>
    <w:basedOn w:val="Normal"/>
    <w:link w:val="a0"/>
    <w:uiPriority w:val="99"/>
    <w:semiHidden/>
    <w:unhideWhenUsed/>
    <w:rsid w:val="00514761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147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1226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D233-0D30-4582-A9D5-F22B5762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